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720" w:lineRule="auto"/>
        <w:ind w:leftChars="0"/>
        <w:jc w:val="center"/>
        <w:outlineLvl w:val="2"/>
        <w:rPr>
          <w:rFonts w:hint="default" w:ascii="宋体" w:hAnsi="宋体" w:cs="宋体"/>
          <w:b/>
          <w:bCs/>
          <w:sz w:val="28"/>
          <w:szCs w:val="36"/>
          <w:lang w:val="en-US" w:eastAsia="zh-CN"/>
        </w:rPr>
      </w:pPr>
      <w:bookmarkStart w:id="0" w:name="_Toc8086"/>
      <w:r>
        <w:rPr>
          <w:rFonts w:hint="eastAsia" w:ascii="宋体" w:hAnsi="宋体" w:cs="宋体"/>
          <w:b/>
          <w:bCs/>
          <w:sz w:val="28"/>
          <w:szCs w:val="36"/>
          <w:lang w:val="en-US" w:eastAsia="zh-CN"/>
        </w:rPr>
        <w:t>中经网-数字经济专题内容介绍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line="280" w:lineRule="atLeast"/>
        <w:ind w:left="0" w:leftChars="0" w:firstLine="0" w:firstLineChars="0"/>
        <w:jc w:val="both"/>
        <w:rPr>
          <w:rFonts w:hint="default" w:ascii="方正公文仿宋" w:hAnsi="方正公文仿宋" w:eastAsia="方正公文仿宋" w:cs="方正公文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32"/>
          <w:lang w:val="en-US" w:eastAsia="zh-CN" w:bidi="ar-SA"/>
        </w:rPr>
        <w:t>中经专题：</w:t>
      </w:r>
      <w:r>
        <w:rPr>
          <w:rFonts w:hint="default" w:ascii="方正公文仿宋" w:hAnsi="方正公文仿宋" w:eastAsia="方正公文仿宋" w:cs="方正公文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数字经济</w:t>
      </w:r>
      <w:r>
        <w:rPr>
          <w:rFonts w:hint="eastAsia" w:ascii="方正公文仿宋" w:hAnsi="方正公文仿宋" w:eastAsia="方正公文仿宋" w:cs="方正公文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更新频次：每日更新）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2355215"/>
            <wp:effectExtent l="0" t="0" r="10160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 w:firstLine="480" w:firstLineChars="200"/>
        <w:jc w:val="both"/>
        <w:outlineLvl w:val="1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以中经网数据库为依托，根据用户实际需要，围绕经济社会热点、国家重大战略等组织内容。设立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数字经济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专题，一站式提供最新动态、政策、数据及相关分析。紧跟时代步伐，综合了解数字经济前沿、行业数字化转型.</w:t>
      </w:r>
    </w:p>
    <w:p>
      <w:pPr>
        <w:keepNext w:val="0"/>
        <w:keepLines w:val="0"/>
        <w:widowControl/>
        <w:suppressLineNumbers w:val="0"/>
        <w:spacing w:before="157" w:beforeAutospacing="0" w:after="157" w:afterAutospacing="0" w:line="440" w:lineRule="atLeast"/>
        <w:ind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主要内容：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聚集数字产业化、产业数字化、数字治理、数字政府等数字经济新业态及前沿热点，及时发布典型分析和权威部门公布的统计数据及数据快讯。</w:t>
      </w:r>
    </w:p>
    <w:p>
      <w:pPr>
        <w:keepNext w:val="0"/>
        <w:keepLines w:val="0"/>
        <w:widowControl/>
        <w:suppressLineNumbers w:val="0"/>
        <w:spacing w:before="157" w:beforeAutospacing="0" w:after="157" w:afterAutospacing="0" w:line="440" w:lineRule="atLeast"/>
        <w:ind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内容涵盖：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数字经济看板、最新资讯、权威声音、政策与解读、行业聚焦、技术前沿、全球视角、最新数据、分析报告、典型经验和专题热点。</w:t>
      </w:r>
    </w:p>
    <w:tbl>
      <w:tblPr>
        <w:tblStyle w:val="6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382"/>
        <w:gridCol w:w="64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>栏目名称</w:t>
            </w:r>
          </w:p>
        </w:tc>
        <w:tc>
          <w:tcPr>
            <w:tcW w:w="6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>栏目内容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数字经济看板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每日滚动更新，精选数字经济当天重要事件及政策简短评述。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最新资讯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每日滚动更新，报道数字经济最新新闻快讯，包括数字经济重大事件、政策发布、重大项目及投资机会等。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权威声音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每日滚动更新，汇集国家及部委、省市领导对数字经济的最新指示精神、调研考察及会议。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政策与解读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每日滚动更新，数字经济最新政策、规划、政策发布动态以及相关政策解读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行业聚焦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每日滚动更新，产业数字化转型动态，包括智慧能源、智能制造、智慧文旅、智慧交通等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技术前沿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每日滚动更新，报道国内外企业数字经济前沿技术最新进展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全球视角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每日滚动更新，美、欧、日韩等发达经济体，新兴国家数字经济发展动态、数字化典型应用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最新数据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精选数字经济数据快讯、最新数据，以图表和可视化两种形式展示数字经济整体情况、数字产业化进展，以及数字经济主要上市公司经营效益，为快速了解数字政府建设、工业互联网应用、数字基础设施建设等数字经济发展进展提供参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分析报告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精选国内外媒体、专家、学者发表的数字经济热点问题分析、评论、观点以及研究成果。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典型经验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精选国内外推进数字经济创新发展的主要举措及成效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专题热点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聚焦数字经济最新热点，一键式获取国家部署、国内进展、国外经验、前瞻观点等内容。专题热点涵盖：东数西算、区块链、云计算、数字人民币、数字政府、数字监管、元宇宙等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984750" cy="2258060"/>
            <wp:effectExtent l="0" t="0" r="6350" b="254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46625" cy="2654935"/>
            <wp:effectExtent l="0" t="0" r="3175" b="1206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numPr>
          <w:ilvl w:val="0"/>
          <w:numId w:val="0"/>
        </w:numPr>
        <w:spacing w:line="360" w:lineRule="auto"/>
        <w:ind w:leftChars="0"/>
        <w:outlineLvl w:val="2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outlineLvl w:val="2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访问网址：</w:t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instrText xml:space="preserve"> HYPERLINK "https://nei.cei.cn/ztshuzijingji" </w:instrText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fldChar w:fldCharType="separate"/>
      </w:r>
      <w:r>
        <w:rPr>
          <w:rStyle w:val="9"/>
          <w:rFonts w:hint="eastAsia" w:ascii="宋体" w:hAnsi="宋体" w:cs="宋体"/>
          <w:b/>
          <w:bCs/>
          <w:sz w:val="24"/>
          <w:szCs w:val="32"/>
          <w:lang w:val="en-US" w:eastAsia="zh-CN"/>
        </w:rPr>
        <w:t>https://nei.cei.cn/ztshuzijingji</w:t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fldChar w:fldCharType="end"/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 w:firstLine="1205" w:firstLineChars="500"/>
        <w:outlineLvl w:val="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"https://nei.cei.cn/ztshuzijingji"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9"/>
          <w:rFonts w:ascii="宋体" w:hAnsi="宋体" w:eastAsia="宋体" w:cs="宋体"/>
          <w:sz w:val="24"/>
          <w:szCs w:val="24"/>
        </w:rPr>
        <w:t>数字经济-中经专网 (cei.cn)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default"/>
          <w:lang w:val="en-US" w:eastAsia="zh-CN"/>
        </w:rPr>
      </w:pPr>
      <w:bookmarkStart w:id="1" w:name="_GoBack"/>
      <w:bookmarkEnd w:id="1"/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</w:p>
    <w:p>
      <w:pPr>
        <w:ind w:firstLine="6000" w:firstLineChars="2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中经网数据有限公司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王文超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010-68558519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-18415</wp:posOffset>
          </wp:positionV>
          <wp:extent cx="1470025" cy="302895"/>
          <wp:effectExtent l="0" t="0" r="3175" b="1905"/>
          <wp:wrapNone/>
          <wp:docPr id="2" name="图片 2" descr="cei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ei-log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025" cy="30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FAFF6"/>
    <w:multiLevelType w:val="singleLevel"/>
    <w:tmpl w:val="594FAF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ZDA1NWI1NzhjZDIwNzZiM2RjNjYxNGU5NTQ0NDAifQ=="/>
  </w:docVars>
  <w:rsids>
    <w:rsidRoot w:val="7D3469F8"/>
    <w:rsid w:val="083C169B"/>
    <w:rsid w:val="1A265C39"/>
    <w:rsid w:val="2F453A16"/>
    <w:rsid w:val="35955107"/>
    <w:rsid w:val="3E715B0B"/>
    <w:rsid w:val="53C00742"/>
    <w:rsid w:val="5A67147B"/>
    <w:rsid w:val="64127211"/>
    <w:rsid w:val="69F42F8F"/>
    <w:rsid w:val="6E9E7401"/>
    <w:rsid w:val="7D3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899</Characters>
  <Lines>0</Lines>
  <Paragraphs>0</Paragraphs>
  <TotalTime>52</TotalTime>
  <ScaleCrop>false</ScaleCrop>
  <LinksUpToDate>false</LinksUpToDate>
  <CharactersWithSpaces>1078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2022-09-07T08:49:00Z</dcterms:created>
  <dc:creator>问问</dc:creator>
  <cp:lastModifiedBy>浅浅左左</cp:lastModifiedBy>
  <dcterms:modified xsi:type="dcterms:W3CDTF">2022-10-06T07:22:03Z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04017EA3BFCC408FA88237F6455C2F92</vt:lpwstr>
  </property>
</Properties>
</file>