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widowControl/>
        <w:spacing w:lineRule="auto" w:line="312"/>
        <w:jc w:val="center"/>
        <w:rPr>
          <w:rFonts w:ascii="宋体" w:cs="宋体" w:hAnsi="宋体"/>
          <w:b/>
          <w:kern w:val="0"/>
          <w:sz w:val="32"/>
          <w:szCs w:val="24"/>
        </w:rPr>
      </w:pPr>
      <w:r>
        <w:rPr>
          <w:rFonts w:ascii="宋体" w:cs="宋体" w:hAnsi="宋体" w:hint="eastAsia"/>
          <w:b/>
          <w:kern w:val="0"/>
          <w:sz w:val="32"/>
          <w:szCs w:val="24"/>
        </w:rPr>
        <w:t>全球案例发现系统</w:t>
      </w:r>
    </w:p>
    <w:p>
      <w:pPr>
        <w:pStyle w:val="style0"/>
        <w:widowControl/>
        <w:spacing w:lineRule="auto" w:line="312"/>
        <w:jc w:val="right"/>
        <w:rPr>
          <w:rFonts w:ascii="宋体" w:cs="宋体" w:hAnsi="宋体"/>
          <w:kern w:val="0"/>
          <w:sz w:val="24"/>
          <w:szCs w:val="24"/>
        </w:rPr>
      </w:pPr>
      <w:r>
        <w:rPr>
          <w:rFonts w:ascii="宋体" w:cs="宋体" w:hAnsi="宋体" w:hint="eastAsia"/>
          <w:kern w:val="0"/>
          <w:sz w:val="24"/>
          <w:szCs w:val="24"/>
        </w:rPr>
        <w:t>—</w:t>
      </w:r>
      <w:r>
        <w:rPr>
          <w:rFonts w:ascii="宋体" w:cs="宋体" w:hAnsi="宋体" w:hint="eastAsia"/>
          <w:kern w:val="0"/>
          <w:sz w:val="24"/>
          <w:szCs w:val="24"/>
        </w:rPr>
        <w:t>走进案例教学  深入企业管理实践</w:t>
      </w:r>
    </w:p>
    <w:p>
      <w:pPr>
        <w:pStyle w:val="style0"/>
        <w:widowControl/>
        <w:spacing w:lineRule="auto" w:line="312"/>
        <w:jc w:val="right"/>
        <w:rPr>
          <w:rFonts w:ascii="宋体" w:cs="宋体" w:hAnsi="宋体"/>
          <w:kern w:val="0"/>
          <w:sz w:val="24"/>
          <w:szCs w:val="24"/>
        </w:rPr>
      </w:pPr>
    </w:p>
    <w:p>
      <w:pPr>
        <w:pStyle w:val="style0"/>
        <w:widowControl/>
        <w:spacing w:lineRule="auto" w:line="312"/>
        <w:jc w:val="center"/>
        <w:rPr>
          <w:rFonts w:ascii="宋体" w:cs="宋体" w:hAnsi="宋体"/>
          <w:kern w:val="0"/>
          <w:sz w:val="24"/>
          <w:szCs w:val="24"/>
        </w:rPr>
      </w:pPr>
      <w:r>
        <w:rPr>
          <w:rFonts w:ascii="宋体" w:cs="宋体" w:hAnsi="宋体"/>
          <w:kern w:val="0"/>
          <w:sz w:val="24"/>
          <w:szCs w:val="24"/>
        </w:rPr>
        <w:t>灯下，苦苦搜索各种资料</w:t>
      </w:r>
    </w:p>
    <w:p>
      <w:pPr>
        <w:pStyle w:val="style0"/>
        <w:widowControl/>
        <w:spacing w:lineRule="auto" w:line="312"/>
        <w:jc w:val="center"/>
        <w:rPr>
          <w:rFonts w:ascii="宋体" w:cs="宋体" w:hAnsi="宋体"/>
          <w:kern w:val="0"/>
          <w:sz w:val="24"/>
          <w:szCs w:val="24"/>
        </w:rPr>
      </w:pPr>
      <w:r>
        <w:rPr>
          <w:rFonts w:ascii="宋体" w:cs="宋体" w:hAnsi="宋体"/>
          <w:kern w:val="0"/>
          <w:sz w:val="24"/>
          <w:szCs w:val="24"/>
        </w:rPr>
        <w:t>费劲心机筛选整理</w:t>
      </w:r>
    </w:p>
    <w:p>
      <w:pPr>
        <w:pStyle w:val="style0"/>
        <w:widowControl/>
        <w:spacing w:lineRule="auto" w:line="312"/>
        <w:jc w:val="center"/>
        <w:rPr>
          <w:rFonts w:ascii="宋体" w:cs="宋体" w:hAnsi="宋体"/>
          <w:kern w:val="0"/>
          <w:sz w:val="24"/>
          <w:szCs w:val="24"/>
        </w:rPr>
      </w:pPr>
      <w:r>
        <w:rPr>
          <w:rFonts w:ascii="宋体" w:cs="宋体" w:hAnsi="宋体"/>
          <w:kern w:val="0"/>
          <w:sz w:val="24"/>
          <w:szCs w:val="24"/>
        </w:rPr>
        <w:t>只为了解一个企业的前世今生</w:t>
      </w:r>
    </w:p>
    <w:p>
      <w:pPr>
        <w:pStyle w:val="style0"/>
        <w:widowControl/>
        <w:spacing w:lineRule="auto" w:line="312"/>
        <w:jc w:val="center"/>
        <w:rPr>
          <w:rFonts w:ascii="宋体" w:cs="宋体" w:hAnsi="宋体"/>
          <w:kern w:val="0"/>
          <w:sz w:val="24"/>
          <w:szCs w:val="24"/>
        </w:rPr>
      </w:pPr>
      <w:r>
        <w:rPr>
          <w:rFonts w:ascii="宋体" w:cs="宋体" w:hAnsi="宋体"/>
          <w:kern w:val="0"/>
          <w:sz w:val="24"/>
          <w:szCs w:val="24"/>
        </w:rPr>
        <w:t>只为明确一个事件的前因后果</w:t>
      </w:r>
    </w:p>
    <w:p>
      <w:pPr>
        <w:pStyle w:val="style0"/>
        <w:widowControl/>
        <w:spacing w:lineRule="auto" w:line="312"/>
        <w:jc w:val="center"/>
        <w:rPr>
          <w:rFonts w:ascii="宋体" w:cs="宋体" w:hAnsi="宋体"/>
          <w:kern w:val="0"/>
          <w:sz w:val="24"/>
          <w:szCs w:val="24"/>
        </w:rPr>
      </w:pPr>
      <w:r>
        <w:rPr>
          <w:rFonts w:ascii="宋体" w:cs="宋体" w:hAnsi="宋体"/>
          <w:kern w:val="0"/>
          <w:sz w:val="24"/>
          <w:szCs w:val="24"/>
        </w:rPr>
        <w:t>只为解析知识如何应用于实践</w:t>
      </w:r>
    </w:p>
    <w:p>
      <w:pPr>
        <w:pStyle w:val="style0"/>
        <w:widowControl/>
        <w:spacing w:lineRule="auto" w:line="312"/>
        <w:jc w:val="center"/>
        <w:rPr>
          <w:rFonts w:ascii="宋体" w:cs="宋体" w:hAnsi="宋体"/>
          <w:kern w:val="0"/>
          <w:sz w:val="24"/>
          <w:szCs w:val="24"/>
        </w:rPr>
      </w:pPr>
      <w:r>
        <w:rPr>
          <w:rFonts w:ascii="宋体" w:cs="宋体" w:hAnsi="宋体"/>
          <w:kern w:val="0"/>
          <w:sz w:val="24"/>
          <w:szCs w:val="24"/>
        </w:rPr>
        <w:t>到最后却发现，可用价值</w:t>
      </w:r>
      <w:r>
        <w:rPr>
          <w:rFonts w:ascii="宋体" w:cs="宋体" w:hAnsi="宋体"/>
          <w:kern w:val="0"/>
          <w:sz w:val="24"/>
          <w:szCs w:val="24"/>
          <w:shd w:val="clear" w:color="auto" w:fill="f6ecc3"/>
        </w:rPr>
        <w:t>微乎其微</w:t>
      </w:r>
    </w:p>
    <w:p>
      <w:pPr>
        <w:pStyle w:val="style0"/>
        <w:widowControl/>
        <w:spacing w:lineRule="auto" w:line="312"/>
        <w:jc w:val="left"/>
        <w:rPr>
          <w:rFonts w:ascii="宋体" w:cs="宋体" w:hAnsi="宋体"/>
          <w:kern w:val="0"/>
          <w:sz w:val="24"/>
          <w:szCs w:val="24"/>
        </w:rPr>
      </w:pPr>
    </w:p>
    <w:p>
      <w:pPr>
        <w:pStyle w:val="style0"/>
        <w:widowControl/>
        <w:spacing w:lineRule="auto" w:line="312"/>
        <w:jc w:val="center"/>
        <w:rPr>
          <w:rFonts w:ascii="宋体" w:cs="宋体" w:hAnsi="宋体"/>
          <w:kern w:val="0"/>
          <w:sz w:val="24"/>
          <w:szCs w:val="24"/>
        </w:rPr>
      </w:pPr>
      <w:r>
        <w:rPr>
          <w:rFonts w:ascii="宋体" w:cs="宋体" w:hAnsi="宋体"/>
          <w:kern w:val="0"/>
          <w:sz w:val="24"/>
          <w:szCs w:val="24"/>
        </w:rPr>
        <w:t>图书馆的顷刻回眸</w:t>
      </w:r>
    </w:p>
    <w:p>
      <w:pPr>
        <w:pStyle w:val="style0"/>
        <w:widowControl/>
        <w:spacing w:lineRule="auto" w:line="312"/>
        <w:jc w:val="center"/>
        <w:rPr>
          <w:rFonts w:ascii="宋体" w:cs="宋体" w:hAnsi="宋体"/>
          <w:kern w:val="0"/>
          <w:sz w:val="24"/>
          <w:szCs w:val="24"/>
        </w:rPr>
      </w:pPr>
      <w:r>
        <w:rPr>
          <w:rFonts w:ascii="宋体" w:cs="宋体" w:hAnsi="宋体"/>
          <w:kern w:val="0"/>
          <w:sz w:val="24"/>
          <w:szCs w:val="24"/>
        </w:rPr>
        <w:t>无需再苦读，无需再烦恼</w:t>
      </w:r>
    </w:p>
    <w:p>
      <w:pPr>
        <w:pStyle w:val="style0"/>
        <w:widowControl/>
        <w:spacing w:lineRule="auto" w:line="312"/>
        <w:jc w:val="center"/>
        <w:rPr>
          <w:rFonts w:ascii="宋体" w:cs="宋体" w:hAnsi="宋体"/>
          <w:kern w:val="0"/>
          <w:sz w:val="24"/>
          <w:szCs w:val="24"/>
        </w:rPr>
      </w:pPr>
      <w:r>
        <w:rPr>
          <w:rFonts w:ascii="宋体" w:cs="宋体" w:hAnsi="宋体"/>
          <w:kern w:val="0"/>
          <w:sz w:val="24"/>
          <w:szCs w:val="24"/>
        </w:rPr>
        <w:t>轻松了解企业发展的兴衰荣辱</w:t>
      </w:r>
    </w:p>
    <w:p>
      <w:pPr>
        <w:pStyle w:val="style0"/>
        <w:widowControl/>
        <w:spacing w:lineRule="auto" w:line="312"/>
        <w:jc w:val="center"/>
        <w:rPr>
          <w:rFonts w:ascii="宋体" w:cs="宋体" w:hAnsi="宋体"/>
          <w:kern w:val="0"/>
          <w:sz w:val="24"/>
          <w:szCs w:val="24"/>
        </w:rPr>
      </w:pPr>
      <w:r>
        <w:rPr>
          <w:rFonts w:ascii="宋体" w:cs="宋体" w:hAnsi="宋体"/>
          <w:kern w:val="0"/>
          <w:sz w:val="24"/>
          <w:szCs w:val="24"/>
          <w:shd w:val="clear" w:color="auto" w:fill="f6ecc3"/>
        </w:rPr>
        <w:t>自信掌控知识实践应用</w:t>
      </w:r>
    </w:p>
    <w:p>
      <w:pPr>
        <w:pStyle w:val="style0"/>
        <w:widowControl/>
        <w:spacing w:lineRule="auto" w:line="312"/>
        <w:jc w:val="center"/>
        <w:rPr>
          <w:rFonts w:ascii="宋体" w:cs="宋体" w:hAnsi="宋体"/>
          <w:kern w:val="0"/>
          <w:sz w:val="24"/>
          <w:szCs w:val="24"/>
          <w:shd w:val="clear" w:color="auto" w:fill="f6ecc3"/>
        </w:rPr>
      </w:pPr>
      <w:r>
        <w:rPr>
          <w:rFonts w:ascii="宋体" w:cs="宋体" w:hAnsi="宋体"/>
          <w:kern w:val="0"/>
          <w:sz w:val="24"/>
          <w:szCs w:val="24"/>
        </w:rPr>
        <w:t>只因遇到了对的</w:t>
      </w:r>
      <w:r>
        <w:rPr>
          <w:rFonts w:ascii="宋体" w:cs="宋体" w:hAnsi="宋体"/>
          <w:kern w:val="0"/>
          <w:sz w:val="24"/>
          <w:szCs w:val="24"/>
          <w:shd w:val="clear" w:color="auto" w:fill="f6ecc3"/>
        </w:rPr>
        <w:t>“全球案例发现系统”</w:t>
      </w:r>
    </w:p>
    <w:p>
      <w:pPr>
        <w:pStyle w:val="style0"/>
        <w:widowControl/>
        <w:spacing w:lineRule="auto" w:line="312"/>
        <w:jc w:val="center"/>
        <w:rPr>
          <w:rFonts w:ascii="宋体" w:cs="宋体" w:hAnsi="宋体"/>
          <w:kern w:val="0"/>
          <w:sz w:val="24"/>
          <w:szCs w:val="24"/>
        </w:rPr>
      </w:pPr>
    </w:p>
    <w:p>
      <w:pPr>
        <w:pStyle w:val="style0"/>
        <w:widowControl/>
        <w:spacing w:lineRule="auto" w:line="312"/>
        <w:jc w:val="left"/>
        <w:rPr>
          <w:rFonts w:ascii="宋体" w:cs="宋体" w:hAnsi="宋体"/>
          <w:kern w:val="0"/>
          <w:sz w:val="24"/>
          <w:szCs w:val="24"/>
        </w:rPr>
      </w:pPr>
    </w:p>
    <w:p>
      <w:pPr>
        <w:pStyle w:val="style0"/>
        <w:widowControl/>
        <w:spacing w:lineRule="auto" w:line="312"/>
        <w:jc w:val="left"/>
        <w:rPr>
          <w:rFonts w:ascii="宋体" w:cs="宋体" w:hAnsi="宋体"/>
          <w:b/>
          <w:bCs/>
          <w:kern w:val="0"/>
          <w:sz w:val="24"/>
          <w:szCs w:val="24"/>
          <w:shd w:val="clear" w:color="auto" w:fill="f96e57"/>
        </w:rPr>
      </w:pPr>
      <w:r>
        <w:rPr>
          <w:rFonts w:ascii="宋体" w:cs="宋体" w:hAnsi="宋体"/>
          <w:b/>
          <w:bCs/>
          <w:kern w:val="0"/>
          <w:sz w:val="24"/>
          <w:szCs w:val="24"/>
        </w:rPr>
        <w:t>全球案例发现系统</w:t>
      </w:r>
      <w:r>
        <w:rPr>
          <w:rFonts w:ascii="宋体" w:cs="宋体" w:hAnsi="宋体"/>
          <w:b/>
          <w:bCs/>
          <w:kern w:val="0"/>
          <w:sz w:val="24"/>
          <w:szCs w:val="24"/>
          <w:shd w:val="clear" w:color="auto" w:fill="f96e57"/>
        </w:rPr>
        <w:t>简介</w:t>
      </w:r>
    </w:p>
    <w:p>
      <w:pPr>
        <w:pStyle w:val="style0"/>
        <w:widowControl/>
        <w:spacing w:lineRule="auto" w:line="312"/>
        <w:jc w:val="left"/>
        <w:rPr>
          <w:rFonts w:ascii="宋体" w:cs="宋体" w:hAnsi="宋体"/>
          <w:kern w:val="0"/>
          <w:sz w:val="24"/>
          <w:szCs w:val="24"/>
        </w:rPr>
      </w:pPr>
    </w:p>
    <w:p>
      <w:pPr>
        <w:pStyle w:val="style0"/>
        <w:widowControl/>
        <w:spacing w:lineRule="auto" w:line="312"/>
        <w:ind w:firstLine="480"/>
        <w:jc w:val="left"/>
        <w:rPr>
          <w:rFonts w:ascii="宋体" w:cs="宋体" w:hAnsi="宋体"/>
          <w:kern w:val="0"/>
          <w:sz w:val="24"/>
          <w:szCs w:val="24"/>
        </w:rPr>
      </w:pPr>
      <w:r>
        <w:rPr>
          <w:rFonts w:ascii="宋体" w:cs="宋体" w:hAnsi="宋体"/>
          <w:kern w:val="0"/>
          <w:sz w:val="24"/>
          <w:szCs w:val="24"/>
        </w:rPr>
        <w:t>全球案例发现系统作为大型案例文献数据库集群，整合了世界众多知名案例研究机构的研究成果，定位于为从事案例开发和案例教学的用户提供一站式检索和传送服务。</w:t>
      </w:r>
    </w:p>
    <w:p>
      <w:pPr>
        <w:pStyle w:val="style0"/>
        <w:widowControl/>
        <w:spacing w:lineRule="auto" w:line="312"/>
        <w:ind w:firstLine="480"/>
        <w:jc w:val="left"/>
        <w:rPr>
          <w:rFonts w:ascii="宋体" w:cs="宋体" w:hAnsi="宋体"/>
          <w:kern w:val="0"/>
          <w:sz w:val="24"/>
          <w:szCs w:val="24"/>
        </w:rPr>
      </w:pPr>
      <w:r>
        <w:rPr>
          <w:rFonts w:ascii="宋体" w:cs="宋体" w:hAnsi="宋体"/>
          <w:kern w:val="0"/>
          <w:sz w:val="24"/>
          <w:szCs w:val="24"/>
        </w:rPr>
        <w:t>全球案例发现系统由工商管理专业类的《中国工商管理案例库》、《工商管理案例素材库》《全球工商管理案例在线》以及公共管理专业类的《中国公共管理案例库》、《公共管理案例素材库》、《全球公共管理案例在线》等六个数据库组成，提供案例全文、案例素材和案例索引三种类型的文献数据，以满足用户在案例教学和案例开发中的全面需求。</w:t>
      </w:r>
    </w:p>
    <w:p>
      <w:pPr>
        <w:pStyle w:val="style0"/>
        <w:widowControl/>
        <w:spacing w:lineRule="auto" w:line="312"/>
        <w:ind w:firstLine="480"/>
        <w:jc w:val="left"/>
        <w:rPr>
          <w:rFonts w:ascii="宋体" w:cs="宋体" w:hAnsi="宋体"/>
          <w:kern w:val="0"/>
          <w:sz w:val="24"/>
          <w:szCs w:val="24"/>
        </w:rPr>
      </w:pPr>
    </w:p>
    <w:p>
      <w:pPr>
        <w:pStyle w:val="style0"/>
        <w:widowControl/>
        <w:spacing w:lineRule="auto" w:line="312"/>
        <w:ind w:firstLine="480"/>
        <w:jc w:val="left"/>
        <w:rPr>
          <w:rFonts w:ascii="宋体" w:cs="宋体" w:hAnsi="宋体"/>
          <w:kern w:val="0"/>
          <w:sz w:val="24"/>
          <w:szCs w:val="24"/>
        </w:rPr>
      </w:pPr>
      <w:r>
        <w:rPr>
          <w:rFonts w:ascii="宋体" w:cs="宋体" w:hAnsi="宋体"/>
          <w:kern w:val="0"/>
          <w:sz w:val="24"/>
          <w:szCs w:val="24"/>
        </w:rPr>
        <w:t>网址：</w:t>
      </w:r>
      <w:r>
        <w:rPr/>
        <w:fldChar w:fldCharType="begin"/>
      </w:r>
      <w:r>
        <w:instrText xml:space="preserve"> HYPERLINK "http://www.htcases.com/" </w:instrText>
      </w:r>
      <w:r>
        <w:rPr/>
        <w:fldChar w:fldCharType="separate"/>
      </w:r>
      <w:r>
        <w:rPr>
          <w:rFonts w:ascii="宋体" w:cs="宋体" w:hAnsi="宋体"/>
          <w:b/>
          <w:bCs/>
          <w:color w:val="0000ff"/>
          <w:kern w:val="0"/>
          <w:sz w:val="24"/>
          <w:szCs w:val="24"/>
          <w:u w:val="single"/>
        </w:rPr>
        <w:t>http://www.htcases.com/</w:t>
      </w:r>
      <w:r>
        <w:rPr/>
        <w:fldChar w:fldCharType="end"/>
      </w:r>
    </w:p>
    <w:p>
      <w:pPr>
        <w:pStyle w:val="style0"/>
        <w:widowControl/>
        <w:spacing w:lineRule="auto" w:line="312"/>
        <w:jc w:val="center"/>
        <w:rPr>
          <w:rFonts w:ascii="宋体" w:cs="宋体" w:hAnsi="宋体"/>
          <w:kern w:val="0"/>
          <w:sz w:val="24"/>
          <w:szCs w:val="24"/>
        </w:rPr>
      </w:pPr>
      <w:r>
        <w:rPr>
          <w:noProof/>
        </w:rPr>
        <w:drawing>
          <wp:inline distL="0" distT="0" distB="0" distR="0">
            <wp:extent cx="4891220" cy="3188970"/>
            <wp:effectExtent l="19050" t="19050" r="24130" b="11430"/>
            <wp:docPr id="1026" name="图片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4"/>
                    <pic:cNvPicPr/>
                  </pic:nvPicPr>
                  <pic:blipFill>
                    <a:blip r:embed="rId2" cstate="print"/>
                    <a:srcRect l="-1" t="0" r="820" b="0"/>
                    <a:stretch/>
                  </pic:blipFill>
                  <pic:spPr>
                    <a:xfrm rot="0">
                      <a:off x="0" y="0"/>
                      <a:ext cx="4891220" cy="3188970"/>
                    </a:xfrm>
                    <a:prstGeom prst="rect"/>
                    <a:ln cmpd="sng" cap="flat" w="9525">
                      <a:solidFill>
                        <a:srgbClr val="4f81bd"/>
                      </a:solidFill>
                      <a:prstDash val="solid"/>
                      <a:round/>
                      <a:headEnd len="med" w="med" type="none"/>
                      <a:tailEnd len="med" w="med" type="none"/>
                    </a:ln>
                  </pic:spPr>
                </pic:pic>
              </a:graphicData>
            </a:graphic>
          </wp:inline>
        </w:drawing>
      </w:r>
    </w:p>
    <w:p>
      <w:pPr>
        <w:pStyle w:val="style0"/>
        <w:widowControl/>
        <w:spacing w:lineRule="auto" w:line="312"/>
        <w:jc w:val="left"/>
        <w:rPr>
          <w:rFonts w:ascii="宋体" w:cs="宋体" w:hAnsi="宋体"/>
          <w:b/>
          <w:bCs/>
          <w:kern w:val="0"/>
          <w:sz w:val="24"/>
          <w:szCs w:val="24"/>
        </w:rPr>
      </w:pPr>
    </w:p>
    <w:p>
      <w:pPr>
        <w:pStyle w:val="style0"/>
        <w:widowControl/>
        <w:spacing w:lineRule="auto" w:line="312"/>
        <w:jc w:val="left"/>
        <w:rPr>
          <w:rFonts w:ascii="宋体" w:cs="宋体" w:hAnsi="宋体"/>
          <w:kern w:val="0"/>
          <w:sz w:val="24"/>
          <w:szCs w:val="24"/>
        </w:rPr>
      </w:pPr>
      <w:r>
        <w:rPr>
          <w:rFonts w:ascii="宋体" w:cs="宋体" w:hAnsi="宋体"/>
          <w:b/>
          <w:bCs/>
          <w:kern w:val="0"/>
          <w:sz w:val="24"/>
          <w:szCs w:val="24"/>
          <w:highlight w:val="darkGray"/>
        </w:rPr>
        <w:t>工商管理</w:t>
      </w:r>
      <w:r>
        <w:rPr>
          <w:rFonts w:ascii="宋体" w:cs="宋体" w:hAnsi="宋体" w:hint="eastAsia"/>
          <w:b/>
          <w:bCs/>
          <w:kern w:val="0"/>
          <w:sz w:val="24"/>
          <w:szCs w:val="24"/>
          <w:highlight w:val="darkGray"/>
        </w:rPr>
        <w:t>专业类资源</w:t>
      </w:r>
      <w:r>
        <w:rPr>
          <w:rFonts w:ascii="宋体" w:cs="宋体" w:hAnsi="宋体"/>
          <w:b/>
          <w:bCs/>
          <w:kern w:val="0"/>
          <w:sz w:val="24"/>
          <w:szCs w:val="24"/>
          <w:highlight w:val="darkGray"/>
        </w:rPr>
        <w:t>库</w:t>
      </w:r>
    </w:p>
    <w:p>
      <w:pPr>
        <w:pStyle w:val="style0"/>
        <w:widowControl/>
        <w:spacing w:lineRule="auto" w:line="312"/>
        <w:jc w:val="left"/>
        <w:rPr>
          <w:rFonts w:ascii="宋体" w:cs="宋体" w:hAnsi="宋体"/>
          <w:kern w:val="0"/>
          <w:sz w:val="24"/>
          <w:szCs w:val="24"/>
        </w:rPr>
      </w:pPr>
    </w:p>
    <w:p>
      <w:pPr>
        <w:pStyle w:val="style0"/>
        <w:widowControl/>
        <w:spacing w:lineRule="auto" w:line="312"/>
        <w:jc w:val="left"/>
        <w:rPr>
          <w:rFonts w:ascii="宋体" w:cs="宋体" w:hAnsi="宋体"/>
          <w:kern w:val="0"/>
          <w:sz w:val="24"/>
          <w:szCs w:val="24"/>
        </w:rPr>
      </w:pPr>
      <w:r>
        <w:rPr>
          <w:rFonts w:ascii="宋体" w:cs="宋体" w:hAnsi="宋体"/>
          <w:kern w:val="0"/>
          <w:sz w:val="24"/>
          <w:szCs w:val="24"/>
        </w:rPr>
        <w:t>中国工商管理案例库</w:t>
      </w:r>
      <w:r>
        <w:rPr>
          <w:rFonts w:ascii="宋体" w:cs="宋体" w:hAnsi="宋体" w:hint="eastAsia"/>
          <w:kern w:val="0"/>
          <w:sz w:val="24"/>
          <w:szCs w:val="24"/>
        </w:rPr>
        <w:t>-</w:t>
      </w:r>
      <w:r>
        <w:rPr>
          <w:rFonts w:ascii="宋体" w:cs="宋体" w:hAnsi="宋体"/>
          <w:kern w:val="0"/>
          <w:sz w:val="24"/>
          <w:szCs w:val="24"/>
        </w:rPr>
        <w:t>标准案例</w:t>
      </w:r>
    </w:p>
    <w:p>
      <w:pPr>
        <w:pStyle w:val="style0"/>
        <w:widowControl/>
        <w:spacing w:lineRule="auto" w:line="312"/>
        <w:jc w:val="center"/>
        <w:rPr>
          <w:rFonts w:ascii="宋体" w:cs="宋体" w:hAnsi="宋体"/>
          <w:kern w:val="0"/>
          <w:sz w:val="24"/>
          <w:szCs w:val="24"/>
        </w:rPr>
      </w:pPr>
      <w:r>
        <w:rPr>
          <w:noProof/>
        </w:rPr>
        <w:drawing>
          <wp:inline distL="0" distT="0" distB="0" distR="0">
            <wp:extent cx="5274310" cy="4288790"/>
            <wp:effectExtent l="19050" t="19050" r="21590" b="16510"/>
            <wp:docPr id="1027" name="图片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3"/>
                    <pic:cNvPicPr/>
                  </pic:nvPicPr>
                  <pic:blipFill>
                    <a:blip r:embed="rId3" cstate="print"/>
                    <a:srcRect l="0" t="0" r="0" b="0"/>
                    <a:stretch/>
                  </pic:blipFill>
                  <pic:spPr>
                    <a:xfrm rot="0">
                      <a:off x="0" y="0"/>
                      <a:ext cx="5274310" cy="4288790"/>
                    </a:xfrm>
                    <a:prstGeom prst="rect"/>
                    <a:ln cmpd="sng" cap="flat" w="9525">
                      <a:solidFill>
                        <a:srgbClr val="4f81bd"/>
                      </a:solidFill>
                      <a:prstDash val="solid"/>
                      <a:round/>
                      <a:headEnd/>
                      <a:tailEnd/>
                    </a:ln>
                  </pic:spPr>
                </pic:pic>
              </a:graphicData>
            </a:graphic>
          </wp:inline>
        </w:drawing>
      </w:r>
    </w:p>
    <w:p>
      <w:pPr>
        <w:pStyle w:val="style0"/>
        <w:widowControl/>
        <w:spacing w:lineRule="auto" w:line="312"/>
        <w:ind w:firstLine="480"/>
        <w:jc w:val="left"/>
        <w:rPr>
          <w:rFonts w:ascii="宋体" w:cs="宋体" w:hAnsi="宋体"/>
          <w:kern w:val="0"/>
          <w:sz w:val="24"/>
          <w:szCs w:val="24"/>
        </w:rPr>
      </w:pPr>
      <w:r>
        <w:rPr>
          <w:rFonts w:ascii="宋体" w:cs="宋体" w:hAnsi="宋体"/>
          <w:kern w:val="0"/>
          <w:sz w:val="24"/>
          <w:szCs w:val="24"/>
        </w:rPr>
        <w:t>《中国工商管理案例库》收录了清华大学经济管理学院中国工商管理案例中心</w:t>
      </w:r>
      <w:r>
        <w:rPr>
          <w:rFonts w:ascii="宋体" w:cs="宋体" w:hAnsi="宋体" w:hint="eastAsia"/>
          <w:kern w:val="0"/>
          <w:sz w:val="24"/>
          <w:szCs w:val="24"/>
        </w:rPr>
        <w:t>和国内著名高校</w:t>
      </w:r>
      <w:r>
        <w:rPr>
          <w:rFonts w:ascii="宋体" w:cs="宋体" w:hAnsi="宋体"/>
          <w:kern w:val="0"/>
          <w:sz w:val="24"/>
          <w:szCs w:val="24"/>
        </w:rPr>
        <w:t>投入巨资，长期跟踪目标企业并实地调研后开发的高质量案例全文。</w:t>
      </w:r>
    </w:p>
    <w:p>
      <w:pPr>
        <w:pStyle w:val="style0"/>
        <w:widowControl/>
        <w:spacing w:lineRule="auto" w:line="312"/>
        <w:ind w:firstLine="480"/>
        <w:jc w:val="left"/>
        <w:rPr>
          <w:rFonts w:ascii="宋体" w:cs="宋体" w:hAnsi="宋体"/>
          <w:kern w:val="0"/>
          <w:sz w:val="24"/>
          <w:szCs w:val="24"/>
        </w:rPr>
      </w:pPr>
      <w:r>
        <w:rPr>
          <w:rFonts w:ascii="宋体" w:cs="宋体" w:hAnsi="宋体"/>
          <w:kern w:val="0"/>
          <w:sz w:val="24"/>
          <w:szCs w:val="24"/>
        </w:rPr>
        <w:t>覆盖学科范围：供应链管理与物流、创业与创新、会计与控制、金融、人力资源、商业环境和社会责任、信息管理与电子商务、市场营销管理、运营管理、战略管理与执行、综合管理、组织行为与领导力、其他。</w:t>
      </w:r>
    </w:p>
    <w:p>
      <w:pPr>
        <w:pStyle w:val="style0"/>
        <w:widowControl/>
        <w:spacing w:lineRule="auto" w:line="312"/>
        <w:ind w:firstLine="480"/>
        <w:jc w:val="left"/>
        <w:rPr>
          <w:rFonts w:ascii="宋体" w:cs="宋体" w:hAnsi="宋体"/>
          <w:kern w:val="0"/>
          <w:sz w:val="24"/>
          <w:szCs w:val="24"/>
        </w:rPr>
      </w:pPr>
    </w:p>
    <w:p>
      <w:pPr>
        <w:pStyle w:val="style0"/>
        <w:widowControl/>
        <w:spacing w:lineRule="auto" w:line="312"/>
        <w:jc w:val="left"/>
        <w:rPr>
          <w:rFonts w:ascii="宋体" w:cs="宋体" w:hAnsi="宋体"/>
          <w:kern w:val="0"/>
          <w:sz w:val="24"/>
          <w:szCs w:val="24"/>
        </w:rPr>
      </w:pPr>
      <w:r>
        <w:rPr>
          <w:noProof/>
        </w:rPr>
        <w:drawing>
          <wp:inline distL="0" distT="0" distB="0" distR="0">
            <wp:extent cx="5274310" cy="2513965"/>
            <wp:effectExtent l="19050" t="19050" r="21590" b="19685"/>
            <wp:docPr id="1028"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4" cstate="print"/>
                    <a:srcRect l="0" t="0" r="0" b="0"/>
                    <a:stretch/>
                  </pic:blipFill>
                  <pic:spPr>
                    <a:xfrm rot="0">
                      <a:off x="0" y="0"/>
                      <a:ext cx="5274310" cy="2513965"/>
                    </a:xfrm>
                    <a:prstGeom prst="rect"/>
                    <a:ln cmpd="sng" cap="flat" w="9525">
                      <a:solidFill>
                        <a:srgbClr val="4f81bd"/>
                      </a:solidFill>
                      <a:prstDash val="solid"/>
                      <a:round/>
                      <a:headEnd/>
                      <a:tailEnd/>
                    </a:ln>
                  </pic:spPr>
                </pic:pic>
              </a:graphicData>
            </a:graphic>
          </wp:inline>
        </w:drawing>
      </w:r>
    </w:p>
    <w:p>
      <w:pPr>
        <w:pStyle w:val="style0"/>
        <w:widowControl/>
        <w:spacing w:lineRule="auto" w:line="312"/>
        <w:jc w:val="left"/>
        <w:rPr>
          <w:rFonts w:ascii="宋体" w:cs="宋体" w:hAnsi="宋体"/>
          <w:kern w:val="0"/>
          <w:sz w:val="24"/>
          <w:szCs w:val="24"/>
        </w:rPr>
      </w:pPr>
    </w:p>
    <w:p>
      <w:pPr>
        <w:pStyle w:val="style0"/>
        <w:widowControl/>
        <w:spacing w:lineRule="auto" w:line="312"/>
        <w:jc w:val="left"/>
        <w:rPr>
          <w:rFonts w:ascii="宋体" w:cs="宋体" w:hAnsi="宋体"/>
          <w:kern w:val="0"/>
          <w:sz w:val="24"/>
          <w:szCs w:val="24"/>
        </w:rPr>
      </w:pPr>
    </w:p>
    <w:p>
      <w:pPr>
        <w:pStyle w:val="style0"/>
        <w:widowControl/>
        <w:spacing w:lineRule="auto" w:line="312"/>
        <w:jc w:val="left"/>
        <w:rPr>
          <w:rFonts w:ascii="宋体" w:cs="宋体" w:hAnsi="宋体"/>
          <w:kern w:val="0"/>
          <w:sz w:val="24"/>
          <w:szCs w:val="24"/>
        </w:rPr>
      </w:pPr>
      <w:r>
        <w:rPr>
          <w:rFonts w:ascii="宋体" w:cs="宋体" w:hAnsi="宋体"/>
          <w:kern w:val="0"/>
          <w:sz w:val="24"/>
          <w:szCs w:val="24"/>
        </w:rPr>
        <w:t>工商管理案例素材库</w:t>
      </w:r>
      <w:r>
        <w:rPr>
          <w:rFonts w:ascii="宋体" w:cs="宋体" w:hAnsi="宋体" w:hint="eastAsia"/>
          <w:kern w:val="0"/>
          <w:sz w:val="24"/>
          <w:szCs w:val="24"/>
        </w:rPr>
        <w:t>-</w:t>
      </w:r>
      <w:r>
        <w:rPr>
          <w:rFonts w:ascii="宋体" w:cs="宋体" w:hAnsi="宋体"/>
          <w:kern w:val="0"/>
          <w:sz w:val="24"/>
          <w:szCs w:val="24"/>
        </w:rPr>
        <w:t>案例素材</w:t>
      </w:r>
    </w:p>
    <w:p>
      <w:pPr>
        <w:pStyle w:val="style0"/>
        <w:widowControl/>
        <w:spacing w:lineRule="auto" w:line="312"/>
        <w:ind w:firstLine="480"/>
        <w:jc w:val="left"/>
        <w:rPr>
          <w:rFonts w:ascii="宋体" w:cs="宋体" w:hAnsi="宋体"/>
          <w:kern w:val="0"/>
          <w:sz w:val="24"/>
          <w:szCs w:val="24"/>
        </w:rPr>
      </w:pPr>
      <w:r>
        <w:rPr>
          <w:rFonts w:ascii="宋体" w:cs="宋体" w:hAnsi="宋体"/>
          <w:kern w:val="0"/>
          <w:sz w:val="24"/>
          <w:szCs w:val="24"/>
        </w:rPr>
        <w:t>《工商管理案例素材库》采集了众多知名媒体的相关报导，重点筛选出社会关注度高、蕴含深刻商业内涵且具有较高案例开发价值的典型性商业事件，为阅读和理解《中国工商管理案例库》及论文撰写、资料查找等提供辅助材料。</w:t>
      </w:r>
    </w:p>
    <w:p>
      <w:pPr>
        <w:pStyle w:val="style0"/>
        <w:widowControl/>
        <w:spacing w:lineRule="auto" w:line="312"/>
        <w:ind w:firstLine="480"/>
        <w:jc w:val="left"/>
        <w:rPr>
          <w:rFonts w:ascii="宋体" w:cs="宋体" w:hAnsi="宋体"/>
          <w:kern w:val="0"/>
          <w:sz w:val="24"/>
          <w:szCs w:val="24"/>
        </w:rPr>
      </w:pPr>
    </w:p>
    <w:p>
      <w:pPr>
        <w:pStyle w:val="style0"/>
        <w:widowControl/>
        <w:spacing w:lineRule="auto" w:line="312"/>
        <w:jc w:val="left"/>
        <w:rPr>
          <w:rFonts w:ascii="宋体" w:cs="宋体" w:hAnsi="宋体"/>
          <w:kern w:val="0"/>
          <w:sz w:val="24"/>
          <w:szCs w:val="24"/>
        </w:rPr>
      </w:pPr>
      <w:r>
        <w:rPr>
          <w:rFonts w:ascii="宋体" w:cs="宋体" w:hAnsi="宋体"/>
          <w:kern w:val="0"/>
          <w:sz w:val="24"/>
          <w:szCs w:val="24"/>
        </w:rPr>
        <w:t>全球工商管理案例在线</w:t>
      </w:r>
      <w:r>
        <w:rPr>
          <w:rFonts w:ascii="宋体" w:cs="宋体" w:hAnsi="宋体" w:hint="eastAsia"/>
          <w:kern w:val="0"/>
          <w:sz w:val="24"/>
          <w:szCs w:val="24"/>
        </w:rPr>
        <w:t>-</w:t>
      </w:r>
      <w:r>
        <w:rPr>
          <w:rFonts w:ascii="宋体" w:cs="宋体" w:hAnsi="宋体"/>
          <w:kern w:val="0"/>
          <w:sz w:val="24"/>
          <w:szCs w:val="24"/>
        </w:rPr>
        <w:t>案例索引</w:t>
      </w:r>
    </w:p>
    <w:p>
      <w:pPr>
        <w:pStyle w:val="style0"/>
        <w:widowControl/>
        <w:spacing w:lineRule="auto" w:line="312"/>
        <w:ind w:firstLine="480"/>
        <w:jc w:val="left"/>
        <w:rPr>
          <w:rFonts w:ascii="宋体" w:cs="宋体" w:hAnsi="宋体"/>
          <w:kern w:val="0"/>
          <w:sz w:val="24"/>
          <w:szCs w:val="24"/>
        </w:rPr>
      </w:pPr>
      <w:r>
        <w:rPr>
          <w:rFonts w:ascii="宋体" w:cs="宋体" w:hAnsi="宋体"/>
          <w:kern w:val="0"/>
          <w:sz w:val="24"/>
          <w:szCs w:val="24"/>
        </w:rPr>
        <w:t>《全球工商管理案例在线》收录了哈佛商学院（Harvard）、毅伟商学院（Ivey）等国内外著名案例研究机构的案例详细信息，用于了解和掌握国内外工商管理案例库的发展动态。</w:t>
      </w:r>
    </w:p>
    <w:p>
      <w:pPr>
        <w:pStyle w:val="style0"/>
        <w:widowControl/>
        <w:spacing w:lineRule="auto" w:line="312"/>
        <w:jc w:val="left"/>
        <w:rPr>
          <w:rFonts w:ascii="宋体" w:cs="宋体" w:hAnsi="宋体"/>
          <w:kern w:val="0"/>
          <w:sz w:val="24"/>
          <w:szCs w:val="24"/>
        </w:rPr>
      </w:pPr>
    </w:p>
    <w:p>
      <w:pPr>
        <w:pStyle w:val="style0"/>
        <w:widowControl/>
        <w:spacing w:lineRule="auto" w:line="312"/>
        <w:jc w:val="left"/>
        <w:rPr>
          <w:rFonts w:ascii="宋体" w:cs="宋体" w:hAnsi="宋体"/>
          <w:b/>
          <w:bCs/>
          <w:kern w:val="0"/>
          <w:sz w:val="24"/>
          <w:szCs w:val="24"/>
          <w:shd w:val="clear" w:color="auto" w:fill="a01cb7"/>
        </w:rPr>
      </w:pPr>
      <w:r>
        <w:rPr>
          <w:rFonts w:ascii="宋体" w:cs="宋体" w:hAnsi="宋体"/>
          <w:b/>
          <w:bCs/>
          <w:kern w:val="0"/>
          <w:sz w:val="24"/>
          <w:szCs w:val="24"/>
          <w:shd w:val="clear" w:color="auto" w:fill="a01cb7"/>
        </w:rPr>
        <w:t>公共管理专业</w:t>
      </w:r>
      <w:r>
        <w:rPr>
          <w:rFonts w:ascii="宋体" w:cs="宋体" w:hAnsi="宋体" w:hint="eastAsia"/>
          <w:b/>
          <w:bCs/>
          <w:kern w:val="0"/>
          <w:sz w:val="24"/>
          <w:szCs w:val="24"/>
          <w:shd w:val="clear" w:color="auto" w:fill="a01cb7"/>
        </w:rPr>
        <w:t>类资源</w:t>
      </w:r>
      <w:r>
        <w:rPr>
          <w:rFonts w:ascii="宋体" w:cs="宋体" w:hAnsi="宋体"/>
          <w:b/>
          <w:bCs/>
          <w:kern w:val="0"/>
          <w:sz w:val="24"/>
          <w:szCs w:val="24"/>
          <w:shd w:val="clear" w:color="auto" w:fill="a01cb7"/>
        </w:rPr>
        <w:t>库</w:t>
      </w:r>
    </w:p>
    <w:p>
      <w:pPr>
        <w:pStyle w:val="style0"/>
        <w:widowControl/>
        <w:spacing w:lineRule="auto" w:line="312"/>
        <w:jc w:val="left"/>
        <w:rPr>
          <w:rFonts w:ascii="宋体" w:cs="宋体" w:hAnsi="宋体"/>
          <w:kern w:val="0"/>
          <w:sz w:val="24"/>
          <w:szCs w:val="24"/>
        </w:rPr>
      </w:pPr>
    </w:p>
    <w:p>
      <w:pPr>
        <w:pStyle w:val="style0"/>
        <w:widowControl/>
        <w:spacing w:lineRule="auto" w:line="312"/>
        <w:jc w:val="left"/>
        <w:rPr>
          <w:rFonts w:ascii="宋体" w:cs="宋体" w:hAnsi="宋体"/>
          <w:kern w:val="0"/>
          <w:sz w:val="24"/>
          <w:szCs w:val="24"/>
        </w:rPr>
      </w:pPr>
      <w:r>
        <w:rPr>
          <w:rFonts w:ascii="宋体" w:cs="宋体" w:hAnsi="宋体"/>
          <w:kern w:val="0"/>
          <w:sz w:val="24"/>
          <w:szCs w:val="24"/>
        </w:rPr>
        <w:t>中国公共管理案例库</w:t>
      </w:r>
      <w:r>
        <w:rPr>
          <w:rFonts w:ascii="宋体" w:cs="宋体" w:hAnsi="宋体" w:hint="eastAsia"/>
          <w:kern w:val="0"/>
          <w:sz w:val="24"/>
          <w:szCs w:val="24"/>
        </w:rPr>
        <w:t>-</w:t>
      </w:r>
      <w:r>
        <w:rPr>
          <w:rFonts w:ascii="宋体" w:cs="宋体" w:hAnsi="宋体"/>
          <w:kern w:val="0"/>
          <w:sz w:val="24"/>
          <w:szCs w:val="24"/>
        </w:rPr>
        <w:t>标准案例</w:t>
      </w:r>
    </w:p>
    <w:p>
      <w:pPr>
        <w:pStyle w:val="style0"/>
        <w:widowControl/>
        <w:spacing w:lineRule="auto" w:line="312"/>
        <w:jc w:val="left"/>
        <w:rPr>
          <w:noProof/>
        </w:rPr>
      </w:pPr>
    </w:p>
    <w:p>
      <w:pPr>
        <w:pStyle w:val="style0"/>
        <w:widowControl/>
        <w:spacing w:lineRule="auto" w:line="312"/>
        <w:jc w:val="left"/>
        <w:rPr>
          <w:noProof/>
        </w:rPr>
      </w:pPr>
    </w:p>
    <w:p>
      <w:pPr>
        <w:pStyle w:val="style0"/>
        <w:widowControl/>
        <w:spacing w:lineRule="auto" w:line="312"/>
        <w:jc w:val="left"/>
        <w:rPr>
          <w:rFonts w:ascii="宋体" w:cs="宋体" w:hAnsi="宋体"/>
          <w:kern w:val="0"/>
          <w:sz w:val="24"/>
          <w:szCs w:val="24"/>
        </w:rPr>
      </w:pPr>
      <w:r>
        <w:rPr>
          <w:noProof/>
        </w:rPr>
        <w:drawing>
          <wp:inline distL="0" distT="0" distB="0" distR="0">
            <wp:extent cx="5274310" cy="3502660"/>
            <wp:effectExtent l="19050" t="19050" r="21590" b="21590"/>
            <wp:docPr id="1029" name="图片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7"/>
                    <pic:cNvPicPr/>
                  </pic:nvPicPr>
                  <pic:blipFill>
                    <a:blip r:embed="rId5" cstate="print"/>
                    <a:srcRect l="0" t="0" r="0" b="0"/>
                    <a:stretch/>
                  </pic:blipFill>
                  <pic:spPr>
                    <a:xfrm rot="0">
                      <a:off x="0" y="0"/>
                      <a:ext cx="5274310" cy="3502660"/>
                    </a:xfrm>
                    <a:prstGeom prst="rect"/>
                    <a:ln cmpd="sng" cap="flat" w="9525">
                      <a:solidFill>
                        <a:srgbClr val="4f81bd"/>
                      </a:solidFill>
                      <a:prstDash val="solid"/>
                      <a:round/>
                      <a:headEnd/>
                      <a:tailEnd/>
                    </a:ln>
                  </pic:spPr>
                </pic:pic>
              </a:graphicData>
            </a:graphic>
          </wp:inline>
        </w:drawing>
      </w:r>
    </w:p>
    <w:p>
      <w:pPr>
        <w:pStyle w:val="style0"/>
        <w:widowControl/>
        <w:spacing w:lineRule="auto" w:line="312"/>
        <w:ind w:firstLine="480"/>
        <w:jc w:val="left"/>
        <w:rPr>
          <w:rFonts w:ascii="宋体" w:cs="宋体" w:hAnsi="宋体"/>
          <w:kern w:val="0"/>
          <w:sz w:val="24"/>
          <w:szCs w:val="24"/>
        </w:rPr>
      </w:pPr>
      <w:r>
        <w:rPr>
          <w:rFonts w:ascii="宋体" w:cs="宋体" w:hAnsi="宋体"/>
          <w:kern w:val="0"/>
          <w:sz w:val="24"/>
          <w:szCs w:val="24"/>
        </w:rPr>
        <w:t>《中国公共管理案例库》是清华大学公共管理学院中国公共管理案例中心历时九年精心研究自主开发的具有时效性、本土性和典型性的高质量教学案例库，现收录了上百篇优秀中文案例，覆盖公共政策、公共经济学、公共部门战略管理、公共危机管理与决策、非营利与公共事业管理、国际事务和战略管理、廉政建设、领导科学与艺术、区域发展与城市治理、政府组织与管理10大方向，深入探索中国公共管理的最佳实践。</w:t>
      </w:r>
    </w:p>
    <w:p>
      <w:pPr>
        <w:pStyle w:val="style0"/>
        <w:widowControl/>
        <w:spacing w:lineRule="auto" w:line="312"/>
        <w:rPr>
          <w:rFonts w:ascii="宋体" w:cs="宋体" w:hAnsi="宋体"/>
          <w:kern w:val="0"/>
          <w:sz w:val="24"/>
          <w:szCs w:val="24"/>
        </w:rPr>
      </w:pPr>
      <w:r>
        <w:rPr>
          <w:noProof/>
        </w:rPr>
        <w:drawing>
          <wp:inline distL="0" distT="0" distB="0" distR="0">
            <wp:extent cx="5274310" cy="2592070"/>
            <wp:effectExtent l="19050" t="19050" r="21590" b="17780"/>
            <wp:docPr id="1030" name="图片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10"/>
                    <pic:cNvPicPr/>
                  </pic:nvPicPr>
                  <pic:blipFill>
                    <a:blip r:embed="rId6" cstate="print"/>
                    <a:srcRect l="0" t="0" r="0" b="0"/>
                    <a:stretch/>
                  </pic:blipFill>
                  <pic:spPr>
                    <a:xfrm rot="0">
                      <a:off x="0" y="0"/>
                      <a:ext cx="5274310" cy="2592070"/>
                    </a:xfrm>
                    <a:prstGeom prst="rect"/>
                    <a:ln cmpd="sng" cap="flat" w="9525">
                      <a:solidFill>
                        <a:srgbClr val="4f81bd"/>
                      </a:solidFill>
                      <a:prstDash val="solid"/>
                      <a:round/>
                      <a:headEnd/>
                      <a:tailEnd/>
                    </a:ln>
                  </pic:spPr>
                </pic:pic>
              </a:graphicData>
            </a:graphic>
          </wp:inline>
        </w:drawing>
      </w:r>
    </w:p>
    <w:p>
      <w:pPr>
        <w:pStyle w:val="style0"/>
        <w:widowControl/>
        <w:spacing w:lineRule="auto" w:line="312"/>
        <w:jc w:val="left"/>
        <w:rPr>
          <w:rFonts w:ascii="宋体" w:cs="宋体" w:hAnsi="宋体"/>
          <w:kern w:val="0"/>
          <w:sz w:val="24"/>
          <w:szCs w:val="24"/>
        </w:rPr>
      </w:pPr>
    </w:p>
    <w:p>
      <w:pPr>
        <w:pStyle w:val="style0"/>
        <w:widowControl/>
        <w:spacing w:lineRule="auto" w:line="312"/>
        <w:jc w:val="left"/>
        <w:rPr>
          <w:rFonts w:ascii="宋体" w:cs="宋体" w:hAnsi="宋体"/>
          <w:kern w:val="0"/>
          <w:sz w:val="24"/>
          <w:szCs w:val="24"/>
        </w:rPr>
      </w:pPr>
      <w:r>
        <w:rPr>
          <w:rFonts w:ascii="宋体" w:cs="宋体" w:hAnsi="宋体"/>
          <w:kern w:val="0"/>
          <w:sz w:val="24"/>
          <w:szCs w:val="24"/>
        </w:rPr>
        <w:t>公共管理案例素材库</w:t>
      </w:r>
      <w:r>
        <w:rPr>
          <w:rFonts w:ascii="宋体" w:cs="宋体" w:hAnsi="宋体" w:hint="eastAsia"/>
          <w:kern w:val="0"/>
          <w:sz w:val="24"/>
          <w:szCs w:val="24"/>
        </w:rPr>
        <w:t>-</w:t>
      </w:r>
      <w:r>
        <w:rPr>
          <w:rFonts w:ascii="宋体" w:cs="宋体" w:hAnsi="宋体"/>
          <w:kern w:val="0"/>
          <w:sz w:val="24"/>
          <w:szCs w:val="24"/>
        </w:rPr>
        <w:t>案例素材</w:t>
      </w:r>
    </w:p>
    <w:p>
      <w:pPr>
        <w:pStyle w:val="style0"/>
        <w:widowControl/>
        <w:spacing w:lineRule="auto" w:line="312"/>
        <w:ind w:firstLine="480"/>
        <w:jc w:val="left"/>
        <w:rPr>
          <w:rFonts w:ascii="宋体" w:cs="宋体" w:hAnsi="宋体"/>
          <w:kern w:val="0"/>
          <w:sz w:val="24"/>
          <w:szCs w:val="24"/>
        </w:rPr>
      </w:pPr>
      <w:r>
        <w:rPr>
          <w:rFonts w:ascii="宋体" w:cs="宋体" w:hAnsi="宋体"/>
          <w:kern w:val="0"/>
          <w:sz w:val="24"/>
          <w:szCs w:val="24"/>
        </w:rPr>
        <w:t>《公共管理案例素材库》采集了众多知名媒体的相关报导，重点筛选出社会关注度高、蕴含深刻内涵且具有较高案例开发价值的典型性公共事件，为阅读和理解《中国公共管理案例库》提供辅助材料。</w:t>
      </w:r>
    </w:p>
    <w:p>
      <w:pPr>
        <w:pStyle w:val="style0"/>
        <w:widowControl/>
        <w:spacing w:lineRule="auto" w:line="312"/>
        <w:ind w:firstLine="480"/>
        <w:jc w:val="left"/>
        <w:rPr>
          <w:rFonts w:ascii="宋体" w:cs="宋体" w:hAnsi="宋体"/>
          <w:kern w:val="0"/>
          <w:sz w:val="24"/>
          <w:szCs w:val="24"/>
        </w:rPr>
      </w:pPr>
    </w:p>
    <w:p>
      <w:pPr>
        <w:pStyle w:val="style0"/>
        <w:widowControl/>
        <w:spacing w:lineRule="auto" w:line="312"/>
        <w:jc w:val="left"/>
        <w:rPr>
          <w:rFonts w:ascii="宋体" w:cs="宋体" w:hAnsi="宋体"/>
          <w:kern w:val="0"/>
          <w:sz w:val="24"/>
          <w:szCs w:val="24"/>
        </w:rPr>
      </w:pPr>
      <w:r>
        <w:rPr>
          <w:rFonts w:ascii="宋体" w:cs="宋体" w:hAnsi="宋体"/>
          <w:kern w:val="0"/>
          <w:sz w:val="24"/>
          <w:szCs w:val="24"/>
        </w:rPr>
        <w:t>全球公共管理案例在线</w:t>
      </w:r>
      <w:r>
        <w:rPr>
          <w:rFonts w:ascii="宋体" w:cs="宋体" w:hAnsi="宋体" w:hint="eastAsia"/>
          <w:kern w:val="0"/>
          <w:sz w:val="24"/>
          <w:szCs w:val="24"/>
        </w:rPr>
        <w:t>-</w:t>
      </w:r>
      <w:r>
        <w:rPr>
          <w:rFonts w:ascii="宋体" w:cs="宋体" w:hAnsi="宋体"/>
          <w:kern w:val="0"/>
          <w:sz w:val="24"/>
          <w:szCs w:val="24"/>
        </w:rPr>
        <w:t>案例索引</w:t>
      </w:r>
    </w:p>
    <w:p>
      <w:pPr>
        <w:pStyle w:val="style0"/>
        <w:widowControl/>
        <w:spacing w:lineRule="auto" w:line="312"/>
        <w:ind w:firstLine="480"/>
        <w:jc w:val="left"/>
        <w:rPr>
          <w:rFonts w:ascii="宋体" w:cs="宋体" w:hAnsi="宋体"/>
          <w:kern w:val="0"/>
          <w:sz w:val="24"/>
          <w:szCs w:val="24"/>
        </w:rPr>
      </w:pPr>
      <w:r>
        <w:rPr>
          <w:rFonts w:ascii="宋体" w:cs="宋体" w:hAnsi="宋体"/>
          <w:kern w:val="0"/>
          <w:sz w:val="24"/>
          <w:szCs w:val="24"/>
        </w:rPr>
        <w:t>《全球公共管理案例在线》主要收录了哈佛肯尼迪学院和清华大学中国公共管理案例中心的案例详细信息，方便用户了解和掌握国内外公共管理案例库的发展动态。</w:t>
      </w:r>
    </w:p>
    <w:p>
      <w:pPr>
        <w:pStyle w:val="style0"/>
        <w:widowControl/>
        <w:spacing w:lineRule="auto" w:line="312"/>
        <w:ind w:firstLine="480"/>
        <w:jc w:val="left"/>
        <w:rPr>
          <w:rFonts w:ascii="宋体" w:cs="宋体" w:hAnsi="宋体"/>
          <w:kern w:val="0"/>
          <w:sz w:val="24"/>
          <w:szCs w:val="24"/>
        </w:rPr>
      </w:pPr>
    </w:p>
    <w:bookmarkStart w:id="0" w:name="_GoBack"/>
    <w:bookmarkEnd w:id="0"/>
    <w:p>
      <w:pPr>
        <w:pStyle w:val="style0"/>
        <w:widowControl/>
        <w:spacing w:lineRule="auto" w:line="312"/>
        <w:jc w:val="left"/>
        <w:rPr>
          <w:rFonts w:ascii="宋体" w:cs="宋体" w:hAnsi="宋体"/>
          <w:kern w:val="0"/>
          <w:sz w:val="24"/>
          <w:szCs w:val="24"/>
        </w:rPr>
      </w:pPr>
    </w:p>
    <w:p>
      <w:pPr>
        <w:pStyle w:val="style0"/>
        <w:widowControl/>
        <w:spacing w:lineRule="auto" w:line="312"/>
        <w:jc w:val="left"/>
        <w:rPr>
          <w:rFonts w:ascii="宋体" w:cs="宋体" w:hAnsi="宋体"/>
          <w:kern w:val="0"/>
          <w:sz w:val="24"/>
          <w:szCs w:val="24"/>
        </w:rPr>
      </w:pPr>
      <w:r>
        <w:rPr>
          <w:rFonts w:ascii="宋体" w:cs="宋体" w:hAnsi="宋体"/>
          <w:b/>
          <w:bCs/>
          <w:kern w:val="0"/>
          <w:sz w:val="24"/>
          <w:szCs w:val="24"/>
          <w:shd w:val="clear" w:color="auto" w:fill="8ec965"/>
        </w:rPr>
        <w:t>使用说明</w:t>
      </w:r>
    </w:p>
    <w:p>
      <w:pPr>
        <w:pStyle w:val="style0"/>
        <w:widowControl/>
        <w:spacing w:lineRule="auto" w:line="312"/>
        <w:jc w:val="left"/>
        <w:rPr>
          <w:rFonts w:ascii="宋体" w:cs="宋体" w:hAnsi="宋体"/>
          <w:kern w:val="0"/>
          <w:sz w:val="24"/>
          <w:szCs w:val="24"/>
        </w:rPr>
      </w:pPr>
      <w:r>
        <w:rPr>
          <w:rFonts w:ascii="宋体" w:cs="宋体" w:hAnsi="宋体"/>
          <w:kern w:val="0"/>
          <w:sz w:val="24"/>
          <w:szCs w:val="24"/>
        </w:rPr>
        <w:t>1校内访问</w:t>
      </w:r>
    </w:p>
    <w:p>
      <w:pPr>
        <w:pStyle w:val="style0"/>
        <w:widowControl/>
        <w:spacing w:lineRule="auto" w:line="312"/>
        <w:ind w:firstLine="480" w:firstLineChars="200"/>
        <w:jc w:val="left"/>
        <w:rPr>
          <w:rFonts w:ascii="宋体" w:cs="宋体" w:hAnsi="宋体"/>
          <w:kern w:val="0"/>
          <w:sz w:val="24"/>
          <w:szCs w:val="24"/>
        </w:rPr>
      </w:pPr>
      <w:r>
        <w:rPr>
          <w:rFonts w:ascii="宋体" w:cs="宋体" w:hAnsi="宋体"/>
          <w:kern w:val="0"/>
          <w:sz w:val="24"/>
          <w:szCs w:val="24"/>
        </w:rPr>
        <w:t>在学校范围内，由图书馆电子资源列表“全球案例发现系统”进入或登陆“www.htcases.com”直接访问“全球案例发现系统”；</w:t>
      </w:r>
    </w:p>
    <w:p>
      <w:pPr>
        <w:pStyle w:val="style0"/>
        <w:widowControl/>
        <w:spacing w:lineRule="auto" w:line="312"/>
        <w:jc w:val="left"/>
        <w:rPr>
          <w:rFonts w:ascii="宋体" w:cs="宋体" w:hAnsi="宋体"/>
          <w:kern w:val="0"/>
          <w:sz w:val="24"/>
          <w:szCs w:val="24"/>
        </w:rPr>
      </w:pPr>
      <w:r>
        <w:rPr>
          <w:rFonts w:ascii="宋体" w:cs="宋体" w:hAnsi="宋体"/>
          <w:kern w:val="0"/>
          <w:sz w:val="24"/>
          <w:szCs w:val="24"/>
        </w:rPr>
        <w:t>2个人账号访问</w:t>
      </w:r>
    </w:p>
    <w:p>
      <w:pPr>
        <w:pStyle w:val="style0"/>
        <w:widowControl/>
        <w:spacing w:lineRule="auto" w:line="312"/>
        <w:ind w:firstLine="480" w:firstLineChars="200"/>
        <w:jc w:val="left"/>
        <w:rPr>
          <w:rFonts w:ascii="宋体" w:cs="宋体" w:hAnsi="宋体"/>
          <w:kern w:val="0"/>
          <w:sz w:val="24"/>
          <w:szCs w:val="24"/>
        </w:rPr>
      </w:pPr>
      <w:r>
        <w:rPr>
          <w:rFonts w:ascii="宋体" w:cs="宋体" w:hAnsi="宋体"/>
          <w:kern w:val="0"/>
          <w:sz w:val="24"/>
          <w:szCs w:val="24"/>
        </w:rPr>
        <w:t>注册个人账号后，可以分类收藏感兴趣的案例全文及素材资源，方便日常的查找与使用。</w:t>
      </w:r>
    </w:p>
    <w:p>
      <w:pPr>
        <w:pStyle w:val="style0"/>
        <w:spacing w:lineRule="auto" w:line="312"/>
        <w:rPr>
          <w:rFonts w:ascii="宋体" w:hAnsi="宋体"/>
          <w:sz w:val="24"/>
          <w:szCs w:val="24"/>
        </w:rPr>
      </w:pPr>
    </w:p>
    <w:p>
      <w:pPr>
        <w:pStyle w:val="style0"/>
        <w:spacing w:lineRule="auto" w:line="312"/>
        <w:ind w:firstLine="480" w:firstLineChars="200"/>
        <w:rPr>
          <w:rFonts w:ascii="宋体" w:hAnsi="宋体"/>
          <w:sz w:val="24"/>
          <w:szCs w:val="24"/>
        </w:rPr>
      </w:pPr>
      <w:r>
        <w:rPr>
          <w:rFonts w:ascii="宋体" w:hAnsi="宋体"/>
          <w:noProof/>
          <w:sz w:val="24"/>
          <w:szCs w:val="24"/>
        </w:rPr>
        <w:drawing>
          <wp:inline distL="0" distT="0" distB="0" distR="0">
            <wp:extent cx="1238250" cy="1238250"/>
            <wp:effectExtent l="0" t="0" r="0" b="0"/>
            <wp:docPr id="1031" name="图片 29" descr="F:\案例.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29"/>
                    <pic:cNvPicPr/>
                  </pic:nvPicPr>
                  <pic:blipFill>
                    <a:blip r:embed="rId7" cstate="print"/>
                    <a:srcRect l="0" t="0" r="0" b="0"/>
                    <a:stretch/>
                  </pic:blipFill>
                  <pic:spPr>
                    <a:xfrm rot="0">
                      <a:off x="0" y="0"/>
                      <a:ext cx="1238250" cy="1238250"/>
                    </a:xfrm>
                    <a:prstGeom prst="rect"/>
                    <a:ln>
                      <a:noFill/>
                    </a:ln>
                  </pic:spPr>
                </pic:pic>
              </a:graphicData>
            </a:graphic>
          </wp:inline>
        </w:drawing>
      </w:r>
    </w:p>
    <w:p>
      <w:pPr>
        <w:pStyle w:val="style0"/>
        <w:spacing w:lineRule="auto" w:line="312"/>
        <w:rPr>
          <w:rFonts w:ascii="宋体" w:hAnsi="宋体"/>
          <w:sz w:val="24"/>
          <w:szCs w:val="24"/>
        </w:rPr>
      </w:pPr>
      <w:r>
        <w:rPr>
          <w:rFonts w:ascii="宋体" w:hAnsi="宋体" w:hint="eastAsia"/>
          <w:sz w:val="24"/>
          <w:szCs w:val="24"/>
        </w:rPr>
        <w:t>全球案例发现系统 微信公众号</w:t>
      </w:r>
    </w:p>
    <w:p>
      <w:pPr>
        <w:pStyle w:val="style0"/>
        <w:spacing w:lineRule="auto" w:line="312"/>
        <w:rPr>
          <w:rFonts w:ascii="宋体" w:hAnsi="宋体"/>
          <w:sz w:val="24"/>
          <w:szCs w:val="24"/>
        </w:rPr>
      </w:pPr>
    </w:p>
    <w:p>
      <w:pPr>
        <w:pStyle w:val="style0"/>
        <w:spacing w:lineRule="auto" w:line="312"/>
        <w:rPr>
          <w:rFonts w:ascii="宋体" w:hAnsi="宋体"/>
          <w:sz w:val="24"/>
          <w:szCs w:val="24"/>
        </w:rPr>
      </w:pPr>
    </w:p>
    <w:sectPr>
      <w:pgSz w:w="11906" w:h="16838" w:orient="portrait"/>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2030204"/>
    <w:charset w:val="00"/>
    <w:family w:val="swiss"/>
    <w:pitch w:val="variable"/>
    <w:sig w:usb0="E00002FF" w:usb1="4000ACFF" w:usb2="00000001" w:usb3="00000000" w:csb0="0000019F" w:csb1="00000000"/>
  </w:font>
  <w:font w:name="宋体">
    <w:altName w:val="SimSun"/>
    <w:panose1 w:val="02010600030001010101"/>
    <w:charset w:val="86"/>
    <w:family w:val="auto"/>
    <w:pitch w:val="variable"/>
    <w:sig w:usb0="00000003" w:usb1="288F0000" w:usb2="00000016" w:usb3="00000000" w:csb0="00040001" w:csb1="00000000"/>
  </w:font>
  <w:font w:name="Times New Roman">
    <w:altName w:val="Times New Roman"/>
    <w:panose1 w:val="02020603050004020304"/>
    <w:charset w:val="00"/>
    <w:family w:val="roman"/>
    <w:pitch w:val="variable"/>
    <w:sig w:usb0="E0002AFF" w:usb1="C0007841" w:usb2="00000009" w:usb3="00000000" w:csb0="000001FF" w:csb1="00000000"/>
  </w:font>
  <w:font w:name="Cambria">
    <w:altName w:val="Cambria"/>
    <w:panose1 w:val="02040503050004030204"/>
    <w:charset w:val="00"/>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bordersDoNotSurroundHeader/>
  <w:bordersDoNotSurroundFooter/>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kern w:val="2"/>
        <w:sz w:val="21"/>
        <w:szCs w:val="22"/>
        <w:lang w:val="en-US" w:bidi="ar-SA" w:eastAsia="zh-CN"/>
      </w:rPr>
    </w:rPrDefault>
    <w:pPrDefault>
      <w:pPr/>
    </w:pPrDefault>
  </w:docDefaults>
  <w:style w:type="paragraph" w:default="1" w:styleId="style0">
    <w:name w:val="Normal"/>
    <w:next w:val="style0"/>
    <w:qFormat/>
    <w:pPr>
      <w:widowControl w:val="false"/>
      <w:jc w:val="both"/>
    </w:pPr>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pBdr>
        <w:bottom w:val="single" w:sz="6" w:space="1" w:color="auto"/>
      </w:pBdr>
      <w:tabs>
        <w:tab w:val="center" w:leader="none" w:pos="4153"/>
        <w:tab w:val="right" w:leader="none" w:pos="8306"/>
      </w:tabs>
      <w:snapToGrid w:val="false"/>
      <w:jc w:val="center"/>
    </w:pPr>
    <w:rPr>
      <w:sz w:val="18"/>
      <w:szCs w:val="18"/>
    </w:rPr>
  </w:style>
  <w:style w:type="character" w:customStyle="1" w:styleId="style4097">
    <w:name w:val="页眉 Char"/>
    <w:basedOn w:val="style65"/>
    <w:next w:val="style4097"/>
    <w:link w:val="style31"/>
    <w:uiPriority w:val="99"/>
    <w:rPr>
      <w:sz w:val="18"/>
      <w:szCs w:val="18"/>
    </w:rPr>
  </w:style>
  <w:style w:type="paragraph" w:styleId="style32">
    <w:name w:val="footer"/>
    <w:basedOn w:val="style0"/>
    <w:next w:val="style32"/>
    <w:link w:val="style4098"/>
    <w:uiPriority w:val="99"/>
    <w:pPr>
      <w:tabs>
        <w:tab w:val="center" w:leader="none" w:pos="4153"/>
        <w:tab w:val="right" w:leader="none" w:pos="8306"/>
      </w:tabs>
      <w:snapToGrid w:val="false"/>
      <w:jc w:val="left"/>
    </w:pPr>
    <w:rPr>
      <w:sz w:val="18"/>
      <w:szCs w:val="18"/>
    </w:rPr>
  </w:style>
  <w:style w:type="character" w:customStyle="1" w:styleId="style4098">
    <w:name w:val="页脚 Char"/>
    <w:basedOn w:val="style65"/>
    <w:next w:val="style4098"/>
    <w:link w:val="style32"/>
    <w:uiPriority w:val="99"/>
    <w:rPr>
      <w:sz w:val="18"/>
      <w:szCs w:val="18"/>
    </w:rPr>
  </w:style>
  <w:style w:type="paragraph" w:styleId="style94">
    <w:name w:val="Normal (Web)"/>
    <w:basedOn w:val="style0"/>
    <w:next w:val="style94"/>
    <w:uiPriority w:val="99"/>
    <w:pPr>
      <w:widowControl/>
      <w:spacing w:before="100" w:beforeAutospacing="true" w:after="100" w:afterAutospacing="true"/>
      <w:jc w:val="left"/>
    </w:pPr>
    <w:rPr>
      <w:rFonts w:ascii="宋体" w:cs="宋体" w:eastAsia="宋体" w:hAnsi="宋体"/>
      <w:kern w:val="0"/>
      <w:sz w:val="24"/>
      <w:szCs w:val="24"/>
    </w:rPr>
  </w:style>
  <w:style w:type="character" w:styleId="style87">
    <w:name w:val="Strong"/>
    <w:basedOn w:val="style65"/>
    <w:next w:val="style87"/>
    <w:qFormat/>
    <w:uiPriority w:val="22"/>
    <w:rPr>
      <w:b/>
      <w:bCs/>
    </w:rPr>
  </w:style>
  <w:style w:type="character" w:styleId="style85">
    <w:name w:val="Hyperlink"/>
    <w:basedOn w:val="style65"/>
    <w:next w:val="style85"/>
    <w:uiPriority w:val="99"/>
    <w:rPr>
      <w:color w:val="0000ff"/>
      <w:u w:val="single"/>
    </w:rPr>
  </w:style>
  <w:style w:type="paragraph" w:styleId="style153">
    <w:name w:val="Balloon Text"/>
    <w:basedOn w:val="style0"/>
    <w:next w:val="style153"/>
    <w:link w:val="style4099"/>
    <w:uiPriority w:val="99"/>
    <w:pPr/>
    <w:rPr>
      <w:sz w:val="18"/>
      <w:szCs w:val="18"/>
    </w:rPr>
  </w:style>
  <w:style w:type="character" w:customStyle="1" w:styleId="style4099">
    <w:name w:val="批注框文本 Char"/>
    <w:basedOn w:val="style65"/>
    <w:next w:val="style4099"/>
    <w:link w:val="style153"/>
    <w:uiPriority w:val="99"/>
    <w:rPr>
      <w:sz w:val="18"/>
      <w:szCs w:val="18"/>
    </w:rPr>
  </w:style>
  <w:style w:type="character" w:customStyle="1" w:styleId="style4100">
    <w:name w:val="style141"/>
    <w:next w:val="style4100"/>
    <w:rPr>
      <w:rFonts w:ascii="宋体" w:eastAsia="宋体" w:hAnsi="宋体" w:hint="eastAsia"/>
      <w:i w:val="false"/>
      <w:iCs w:val="false"/>
      <w:color w:val="000000"/>
      <w:sz w:val="20"/>
      <w:szCs w:val="2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2.jpe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Words>1305</Words>
  <Pages>5</Pages>
  <Characters>1354</Characters>
  <Application>WPS Office</Application>
  <DocSecurity>0</DocSecurity>
  <Paragraphs>67</Paragraphs>
  <ScaleCrop>false</ScaleCrop>
  <LinksUpToDate>false</LinksUpToDate>
  <CharactersWithSpaces>1357</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2019-10-08T07:38:00Z</dcterms:created>
  <dc:creator>market</dc:creator>
  <lastModifiedBy>HMA-AL00</lastModifiedBy>
  <dcterms:modified xsi:type="dcterms:W3CDTF">2022-10-23T23:51:17Z</dcterms:modified>
  <revision>15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29597ed24fa3496e94008fbfeaf926ba</vt:lpwstr>
  </property>
</Properties>
</file>